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44"/>
          <w:lang w:val="en-US" w:eastAsia="zh-Hans"/>
        </w:rPr>
      </w:pPr>
      <w:r>
        <w:rPr>
          <w:rFonts w:hint="eastAsia" w:ascii="黑体" w:hAnsi="黑体" w:eastAsia="黑体" w:cs="黑体"/>
          <w:sz w:val="36"/>
          <w:szCs w:val="44"/>
          <w:lang w:val="en-US" w:eastAsia="zh-Hans"/>
        </w:rPr>
        <w:t>“工匠之师”赴德访学项目日程方案</w:t>
      </w:r>
      <w:bookmarkStart w:id="0" w:name="_GoBack"/>
      <w:bookmarkEnd w:id="0"/>
    </w:p>
    <w:p>
      <w:pPr>
        <w:jc w:val="center"/>
        <w:rPr>
          <w:rFonts w:hint="eastAsia" w:ascii="黑体" w:hAnsi="黑体" w:eastAsia="黑体" w:cs="黑体"/>
          <w:sz w:val="36"/>
          <w:szCs w:val="44"/>
          <w:lang w:val="en-US" w:eastAsia="zh-Hans"/>
        </w:rPr>
      </w:pPr>
    </w:p>
    <w:tbl>
      <w:tblPr>
        <w:tblStyle w:val="3"/>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69"/>
        <w:gridCol w:w="1861"/>
        <w:gridCol w:w="2970"/>
        <w:gridCol w:w="1846"/>
        <w:gridCol w:w="773"/>
        <w:gridCol w:w="773"/>
      </w:tblGrid>
      <w:tr>
        <w:tc>
          <w:tcPr>
            <w:tcW w:w="1069" w:type="dxa"/>
          </w:tcPr>
          <w:p>
            <w:pPr>
              <w:jc w:val="center"/>
              <w:rPr>
                <w:rFonts w:hint="default" w:ascii="黑体" w:hAnsi="黑体" w:eastAsia="黑体" w:cs="黑体"/>
                <w:sz w:val="36"/>
                <w:szCs w:val="44"/>
                <w:vertAlign w:val="baseline"/>
                <w:lang w:val="en-US" w:eastAsia="zh-Hans"/>
              </w:rPr>
            </w:pPr>
            <w:r>
              <w:rPr>
                <w:rFonts w:hint="eastAsia" w:ascii="黑体" w:hAnsi="黑体" w:eastAsia="黑体" w:cs="黑体"/>
                <w:sz w:val="36"/>
                <w:szCs w:val="44"/>
                <w:vertAlign w:val="baseline"/>
                <w:lang w:val="en-US" w:eastAsia="zh-Hans"/>
              </w:rPr>
              <w:t>时间</w:t>
            </w:r>
          </w:p>
        </w:tc>
        <w:tc>
          <w:tcPr>
            <w:tcW w:w="1861" w:type="dxa"/>
          </w:tcPr>
          <w:p>
            <w:pPr>
              <w:jc w:val="center"/>
              <w:rPr>
                <w:rFonts w:hint="default" w:ascii="黑体" w:hAnsi="黑体" w:eastAsia="黑体" w:cs="黑体"/>
                <w:sz w:val="36"/>
                <w:szCs w:val="44"/>
                <w:vertAlign w:val="baseline"/>
                <w:lang w:val="en-US" w:eastAsia="zh-Hans"/>
              </w:rPr>
            </w:pPr>
            <w:r>
              <w:rPr>
                <w:rFonts w:hint="eastAsia" w:ascii="黑体" w:hAnsi="黑体" w:eastAsia="黑体" w:cs="黑体"/>
                <w:sz w:val="36"/>
                <w:szCs w:val="44"/>
                <w:vertAlign w:val="baseline"/>
                <w:lang w:val="en-US" w:eastAsia="zh-Hans"/>
              </w:rPr>
              <w:t>学习主题</w:t>
            </w:r>
          </w:p>
        </w:tc>
        <w:tc>
          <w:tcPr>
            <w:tcW w:w="2970" w:type="dxa"/>
          </w:tcPr>
          <w:p>
            <w:pPr>
              <w:jc w:val="center"/>
              <w:rPr>
                <w:rFonts w:hint="default" w:ascii="黑体" w:hAnsi="黑体" w:eastAsia="黑体" w:cs="黑体"/>
                <w:sz w:val="36"/>
                <w:szCs w:val="44"/>
                <w:vertAlign w:val="baseline"/>
                <w:lang w:val="en-US" w:eastAsia="zh-Hans"/>
              </w:rPr>
            </w:pPr>
            <w:r>
              <w:rPr>
                <w:rFonts w:hint="eastAsia" w:ascii="黑体" w:hAnsi="黑体" w:eastAsia="黑体" w:cs="黑体"/>
                <w:sz w:val="36"/>
                <w:szCs w:val="44"/>
                <w:vertAlign w:val="baseline"/>
                <w:lang w:val="en-US" w:eastAsia="zh-Hans"/>
              </w:rPr>
              <w:t>学习内容</w:t>
            </w:r>
          </w:p>
        </w:tc>
        <w:tc>
          <w:tcPr>
            <w:tcW w:w="1846" w:type="dxa"/>
          </w:tcPr>
          <w:p>
            <w:pPr>
              <w:jc w:val="center"/>
              <w:rPr>
                <w:rFonts w:hint="default" w:ascii="黑体" w:hAnsi="黑体" w:eastAsia="黑体" w:cs="黑体"/>
                <w:sz w:val="36"/>
                <w:szCs w:val="44"/>
                <w:vertAlign w:val="baseline"/>
                <w:lang w:val="en-US" w:eastAsia="zh-Hans"/>
              </w:rPr>
            </w:pPr>
            <w:r>
              <w:rPr>
                <w:rFonts w:hint="eastAsia" w:ascii="黑体" w:hAnsi="黑体" w:eastAsia="黑体" w:cs="黑体"/>
                <w:sz w:val="36"/>
                <w:szCs w:val="44"/>
                <w:vertAlign w:val="baseline"/>
                <w:lang w:val="en-US" w:eastAsia="zh-Hans"/>
              </w:rPr>
              <w:t>学习形式</w:t>
            </w:r>
          </w:p>
        </w:tc>
        <w:tc>
          <w:tcPr>
            <w:tcW w:w="773" w:type="dxa"/>
          </w:tcPr>
          <w:p>
            <w:pPr>
              <w:jc w:val="center"/>
              <w:rPr>
                <w:rFonts w:hint="default" w:ascii="黑体" w:hAnsi="黑体" w:eastAsia="黑体" w:cs="黑体"/>
                <w:sz w:val="36"/>
                <w:szCs w:val="44"/>
                <w:vertAlign w:val="baseline"/>
                <w:lang w:val="en-US" w:eastAsia="zh-Hans"/>
              </w:rPr>
            </w:pPr>
            <w:r>
              <w:rPr>
                <w:rFonts w:hint="eastAsia" w:ascii="黑体" w:hAnsi="黑体" w:eastAsia="黑体" w:cs="黑体"/>
                <w:sz w:val="36"/>
                <w:szCs w:val="44"/>
                <w:vertAlign w:val="baseline"/>
                <w:lang w:val="en-US" w:eastAsia="zh-Hans"/>
              </w:rPr>
              <w:t>学时</w:t>
            </w:r>
          </w:p>
        </w:tc>
        <w:tc>
          <w:tcPr>
            <w:tcW w:w="773" w:type="dxa"/>
          </w:tcPr>
          <w:p>
            <w:pPr>
              <w:jc w:val="center"/>
              <w:rPr>
                <w:rFonts w:hint="default" w:ascii="黑体" w:hAnsi="黑体" w:eastAsia="黑体" w:cs="黑体"/>
                <w:sz w:val="36"/>
                <w:szCs w:val="44"/>
                <w:vertAlign w:val="baseline"/>
                <w:lang w:val="en-US" w:eastAsia="zh-Hans"/>
              </w:rPr>
            </w:pPr>
            <w:r>
              <w:rPr>
                <w:rFonts w:hint="eastAsia" w:ascii="黑体" w:hAnsi="黑体" w:eastAsia="黑体" w:cs="黑体"/>
                <w:sz w:val="36"/>
                <w:szCs w:val="44"/>
                <w:vertAlign w:val="baseline"/>
                <w:lang w:val="en-US" w:eastAsia="zh-Hans"/>
              </w:rPr>
              <w:t>地点</w:t>
            </w:r>
          </w:p>
        </w:tc>
      </w:tr>
      <w:tr>
        <w:tc>
          <w:tcPr>
            <w:tcW w:w="1069" w:type="dxa"/>
          </w:tcPr>
          <w:p>
            <w:pPr>
              <w:jc w:val="center"/>
              <w:rPr>
                <w:rFonts w:hint="default" w:ascii="仿宋_GB2312" w:hAnsi="仿宋_GB2312" w:eastAsia="仿宋_GB2312" w:cs="仿宋_GB2312"/>
                <w:sz w:val="32"/>
                <w:szCs w:val="40"/>
                <w:vertAlign w:val="baseline"/>
                <w:lang w:eastAsia="zh-Hans"/>
              </w:rPr>
            </w:pPr>
            <w:r>
              <w:rPr>
                <w:rFonts w:hint="eastAsia" w:ascii="仿宋_GB2312" w:hAnsi="仿宋_GB2312" w:eastAsia="仿宋_GB2312" w:cs="仿宋_GB2312"/>
                <w:sz w:val="32"/>
                <w:szCs w:val="40"/>
                <w:vertAlign w:val="baseline"/>
                <w:lang w:eastAsia="zh-Hans"/>
              </w:rPr>
              <w:t>2</w:t>
            </w:r>
            <w:r>
              <w:rPr>
                <w:rFonts w:hint="eastAsia" w:ascii="仿宋_GB2312" w:hAnsi="仿宋_GB2312" w:eastAsia="仿宋_GB2312" w:cs="仿宋_GB2312"/>
                <w:sz w:val="32"/>
                <w:szCs w:val="40"/>
                <w:vertAlign w:val="baseline"/>
                <w:lang w:val="en-US" w:eastAsia="zh-Hans"/>
              </w:rPr>
              <w:t>.</w:t>
            </w:r>
            <w:r>
              <w:rPr>
                <w:rFonts w:hint="eastAsia" w:ascii="仿宋_GB2312" w:hAnsi="仿宋_GB2312" w:eastAsia="仿宋_GB2312" w:cs="仿宋_GB2312"/>
                <w:sz w:val="32"/>
                <w:szCs w:val="40"/>
                <w:vertAlign w:val="baseline"/>
                <w:lang w:eastAsia="zh-Hans"/>
              </w:rPr>
              <w:t>21-</w:t>
            </w:r>
            <w:r>
              <w:rPr>
                <w:rFonts w:hint="default" w:ascii="仿宋_GB2312" w:hAnsi="仿宋_GB2312" w:eastAsia="仿宋_GB2312" w:cs="仿宋_GB2312"/>
                <w:sz w:val="32"/>
                <w:szCs w:val="40"/>
                <w:vertAlign w:val="baseline"/>
                <w:lang w:eastAsia="zh-Hans"/>
              </w:rPr>
              <w:t>3</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1</w:t>
            </w:r>
          </w:p>
        </w:tc>
        <w:tc>
          <w:tcPr>
            <w:tcW w:w="1861" w:type="dxa"/>
          </w:tcPr>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模块一</w:t>
            </w:r>
            <w:r>
              <w:rPr>
                <w:rFonts w:hint="default" w:ascii="仿宋_GB2312" w:hAnsi="仿宋_GB2312" w:eastAsia="仿宋_GB2312" w:cs="仿宋_GB2312"/>
                <w:sz w:val="32"/>
                <w:szCs w:val="40"/>
                <w:vertAlign w:val="baseline"/>
                <w:lang w:eastAsia="zh-Hans"/>
              </w:rPr>
              <w:t>：</w:t>
            </w:r>
            <w:r>
              <w:rPr>
                <w:rFonts w:hint="eastAsia" w:ascii="仿宋_GB2312" w:hAnsi="仿宋_GB2312" w:eastAsia="仿宋_GB2312" w:cs="仿宋_GB2312"/>
                <w:sz w:val="32"/>
                <w:szCs w:val="40"/>
                <w:vertAlign w:val="baseline"/>
                <w:lang w:val="en-US" w:eastAsia="zh-Hans"/>
              </w:rPr>
              <w:t>教育系统和成人教育基础知识</w:t>
            </w:r>
          </w:p>
        </w:tc>
        <w:tc>
          <w:tcPr>
            <w:tcW w:w="2970" w:type="dxa"/>
          </w:tcPr>
          <w:p>
            <w:pPr>
              <w:jc w:val="center"/>
              <w:rPr>
                <w:rFonts w:hint="eastAsia" w:ascii="仿宋_GB2312" w:hAnsi="仿宋_GB2312" w:eastAsia="仿宋_GB2312" w:cs="仿宋_GB2312"/>
                <w:sz w:val="32"/>
                <w:szCs w:val="40"/>
                <w:vertAlign w:val="baseline"/>
                <w:lang w:eastAsia="zh-Hans"/>
              </w:rPr>
            </w:pPr>
            <w:r>
              <w:rPr>
                <w:rFonts w:hint="eastAsia" w:ascii="仿宋_GB2312" w:hAnsi="仿宋_GB2312" w:eastAsia="仿宋_GB2312" w:cs="仿宋_GB2312"/>
                <w:sz w:val="22"/>
                <w:szCs w:val="28"/>
                <w:vertAlign w:val="baseline"/>
                <w:lang w:val="en-US" w:eastAsia="zh-Hans"/>
              </w:rPr>
              <w:t>通过本门模块课程的学习</w:t>
            </w:r>
            <w:r>
              <w:rPr>
                <w:rFonts w:hint="default" w:ascii="仿宋_GB2312" w:hAnsi="仿宋_GB2312" w:eastAsia="仿宋_GB2312" w:cs="仿宋_GB2312"/>
                <w:sz w:val="22"/>
                <w:szCs w:val="28"/>
                <w:vertAlign w:val="baseline"/>
                <w:lang w:eastAsia="zh-Hans"/>
              </w:rPr>
              <w:t>，</w:t>
            </w:r>
            <w:r>
              <w:rPr>
                <w:rFonts w:hint="eastAsia" w:ascii="仿宋_GB2312" w:hAnsi="仿宋_GB2312" w:eastAsia="仿宋_GB2312" w:cs="仿宋_GB2312"/>
                <w:sz w:val="22"/>
                <w:szCs w:val="28"/>
                <w:vertAlign w:val="baseline"/>
                <w:lang w:val="en-US" w:eastAsia="zh-CN"/>
              </w:rPr>
              <w:t>学生将能够认识职业和教育的历史和社会相互关系，并能够在职业教育和社会化理论的范畴方面发展他们的反思技能。学生将获得有关初级和继续职业教育培训的结构和机构的知识，包括它们的历史发展和法律框架。通过他们在职业领域的基本思想和行动，以及通过他们的经验，他们还将能够创建和评估不同职业和成人教育理论方法之间的相互关系。</w:t>
            </w:r>
          </w:p>
          <w:p>
            <w:pPr>
              <w:jc w:val="center"/>
              <w:rPr>
                <w:rFonts w:hint="eastAsia" w:ascii="仿宋_GB2312" w:hAnsi="仿宋_GB2312" w:eastAsia="仿宋_GB2312" w:cs="仿宋_GB2312"/>
                <w:sz w:val="32"/>
                <w:szCs w:val="40"/>
                <w:vertAlign w:val="baseline"/>
                <w:lang w:val="en-US" w:eastAsia="zh-Hans"/>
              </w:rPr>
            </w:pPr>
          </w:p>
        </w:tc>
        <w:tc>
          <w:tcPr>
            <w:tcW w:w="1846" w:type="dxa"/>
          </w:tcPr>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课堂教学和研讨会</w:t>
            </w:r>
          </w:p>
        </w:tc>
        <w:tc>
          <w:tcPr>
            <w:tcW w:w="773"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60</w:t>
            </w:r>
          </w:p>
        </w:tc>
        <w:tc>
          <w:tcPr>
            <w:tcW w:w="773" w:type="dxa"/>
          </w:tcPr>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德累斯顿工业大学</w:t>
            </w:r>
          </w:p>
        </w:tc>
      </w:tr>
      <w:tr>
        <w:tc>
          <w:tcPr>
            <w:tcW w:w="1069"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3</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2-</w:t>
            </w:r>
          </w:p>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3</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17</w:t>
            </w:r>
          </w:p>
        </w:tc>
        <w:tc>
          <w:tcPr>
            <w:tcW w:w="1861" w:type="dxa"/>
          </w:tcPr>
          <w:p>
            <w:pPr>
              <w:jc w:val="center"/>
              <w:rPr>
                <w:rFonts w:hint="eastAsia"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模块二</w:t>
            </w:r>
            <w:r>
              <w:rPr>
                <w:rFonts w:hint="default" w:ascii="仿宋_GB2312" w:hAnsi="仿宋_GB2312" w:eastAsia="仿宋_GB2312" w:cs="仿宋_GB2312"/>
                <w:sz w:val="32"/>
                <w:szCs w:val="40"/>
                <w:vertAlign w:val="baseline"/>
                <w:lang w:eastAsia="zh-Hans"/>
              </w:rPr>
              <w:t>：</w:t>
            </w:r>
            <w:r>
              <w:rPr>
                <w:rFonts w:hint="eastAsia" w:ascii="仿宋_GB2312" w:hAnsi="仿宋_GB2312" w:eastAsia="仿宋_GB2312" w:cs="仿宋_GB2312"/>
                <w:sz w:val="32"/>
                <w:szCs w:val="40"/>
                <w:vertAlign w:val="baseline"/>
                <w:lang w:val="en-US" w:eastAsia="zh-Hans"/>
              </w:rPr>
              <w:t>教学过程</w:t>
            </w:r>
          </w:p>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设计</w:t>
            </w:r>
          </w:p>
        </w:tc>
        <w:tc>
          <w:tcPr>
            <w:tcW w:w="2970" w:type="dxa"/>
          </w:tcPr>
          <w:p>
            <w:pPr>
              <w:keepNext w:val="0"/>
              <w:keepLines w:val="0"/>
              <w:widowControl/>
              <w:suppressLineNumbers w:val="0"/>
              <w:jc w:val="left"/>
              <w:rPr>
                <w:rFonts w:hint="default" w:ascii="仿宋_GB2312" w:hAnsi="仿宋_GB2312" w:eastAsia="仿宋_GB2312" w:cs="仿宋_GB2312"/>
                <w:sz w:val="22"/>
                <w:szCs w:val="28"/>
                <w:vertAlign w:val="baseline"/>
                <w:lang w:eastAsia="zh-Hans"/>
              </w:rPr>
            </w:pPr>
            <w:r>
              <w:rPr>
                <w:rFonts w:hint="eastAsia" w:ascii="仿宋_GB2312" w:hAnsi="仿宋_GB2312" w:eastAsia="仿宋_GB2312" w:cs="仿宋_GB2312"/>
                <w:sz w:val="22"/>
                <w:szCs w:val="28"/>
                <w:vertAlign w:val="baseline"/>
                <w:lang w:val="en-US" w:eastAsia="zh-Hans"/>
              </w:rPr>
              <w:t>通过本门模块课程的学习</w:t>
            </w:r>
            <w:r>
              <w:rPr>
                <w:rFonts w:hint="default" w:ascii="仿宋_GB2312" w:hAnsi="仿宋_GB2312" w:eastAsia="仿宋_GB2312" w:cs="仿宋_GB2312"/>
                <w:sz w:val="22"/>
                <w:szCs w:val="28"/>
                <w:vertAlign w:val="baseline"/>
                <w:lang w:eastAsia="zh-Hans"/>
              </w:rPr>
              <w:t>，</w:t>
            </w:r>
            <w:r>
              <w:rPr>
                <w:rFonts w:hint="eastAsia" w:ascii="仿宋_GB2312" w:hAnsi="仿宋_GB2312" w:eastAsia="仿宋_GB2312" w:cs="仿宋_GB2312"/>
                <w:sz w:val="22"/>
                <w:szCs w:val="28"/>
                <w:vertAlign w:val="baseline"/>
                <w:lang w:val="en-US" w:eastAsia="zh-CN"/>
              </w:rPr>
              <w:t>学生应该能够考虑现有条件，为特定目标群体设计初级和继续职业教育培训中的教学和学习过程，并特别利用不同的媒体。对上述进展的规划、执行、分析和评估。</w:t>
            </w:r>
          </w:p>
        </w:tc>
        <w:tc>
          <w:tcPr>
            <w:tcW w:w="1846" w:type="dxa"/>
          </w:tcPr>
          <w:p>
            <w:pPr>
              <w:jc w:val="center"/>
              <w:rPr>
                <w:rFonts w:hint="eastAsia"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课堂教学和研讨会</w:t>
            </w:r>
          </w:p>
        </w:tc>
        <w:tc>
          <w:tcPr>
            <w:tcW w:w="773"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120</w:t>
            </w:r>
          </w:p>
        </w:tc>
        <w:tc>
          <w:tcPr>
            <w:tcW w:w="773" w:type="dxa"/>
          </w:tcPr>
          <w:p>
            <w:pPr>
              <w:jc w:val="center"/>
              <w:rPr>
                <w:rFonts w:hint="default" w:ascii="仿宋_GB2312" w:hAnsi="仿宋_GB2312" w:eastAsia="仿宋_GB2312" w:cs="仿宋_GB2312"/>
                <w:sz w:val="32"/>
                <w:szCs w:val="40"/>
                <w:vertAlign w:val="baseline"/>
                <w:lang w:eastAsia="zh-Hans"/>
              </w:rPr>
            </w:pPr>
            <w:r>
              <w:rPr>
                <w:rFonts w:hint="eastAsia" w:ascii="仿宋_GB2312" w:hAnsi="仿宋_GB2312" w:eastAsia="仿宋_GB2312" w:cs="仿宋_GB2312"/>
                <w:sz w:val="32"/>
                <w:szCs w:val="40"/>
                <w:vertAlign w:val="baseline"/>
                <w:lang w:val="en-US" w:eastAsia="zh-Hans"/>
              </w:rPr>
              <w:t>德累斯顿工业大学</w:t>
            </w:r>
          </w:p>
        </w:tc>
      </w:tr>
      <w:tr>
        <w:tc>
          <w:tcPr>
            <w:tcW w:w="1069"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3</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18-3</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31</w:t>
            </w:r>
          </w:p>
        </w:tc>
        <w:tc>
          <w:tcPr>
            <w:tcW w:w="1861" w:type="dxa"/>
          </w:tcPr>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模块三</w:t>
            </w:r>
            <w:r>
              <w:rPr>
                <w:rFonts w:hint="default" w:ascii="仿宋_GB2312" w:hAnsi="仿宋_GB2312" w:eastAsia="仿宋_GB2312" w:cs="仿宋_GB2312"/>
                <w:sz w:val="32"/>
                <w:szCs w:val="40"/>
                <w:vertAlign w:val="baseline"/>
                <w:lang w:eastAsia="zh-Hans"/>
              </w:rPr>
              <w:t>：</w:t>
            </w:r>
            <w:r>
              <w:rPr>
                <w:rFonts w:hint="eastAsia" w:ascii="仿宋_GB2312" w:hAnsi="仿宋_GB2312" w:eastAsia="仿宋_GB2312" w:cs="仿宋_GB2312"/>
                <w:sz w:val="32"/>
                <w:szCs w:val="40"/>
                <w:vertAlign w:val="baseline"/>
                <w:lang w:val="en-US" w:eastAsia="zh-Hans"/>
              </w:rPr>
              <w:t>管理过程</w:t>
            </w:r>
          </w:p>
        </w:tc>
        <w:tc>
          <w:tcPr>
            <w:tcW w:w="2970" w:type="dxa"/>
          </w:tcPr>
          <w:p>
            <w:pPr>
              <w:keepNext w:val="0"/>
              <w:keepLines w:val="0"/>
              <w:widowControl/>
              <w:suppressLineNumbers w:val="0"/>
              <w:jc w:val="left"/>
              <w:rPr>
                <w:rFonts w:hint="eastAsia" w:ascii="仿宋_GB2312" w:hAnsi="仿宋_GB2312" w:eastAsia="仿宋_GB2312" w:cs="仿宋_GB2312"/>
                <w:sz w:val="22"/>
                <w:szCs w:val="28"/>
                <w:vertAlign w:val="baseline"/>
                <w:lang w:val="en-US" w:eastAsia="zh-Hans"/>
              </w:rPr>
            </w:pPr>
            <w:r>
              <w:rPr>
                <w:rFonts w:hint="eastAsia" w:ascii="仿宋_GB2312" w:hAnsi="仿宋_GB2312" w:eastAsia="仿宋_GB2312" w:cs="仿宋_GB2312"/>
                <w:sz w:val="22"/>
                <w:szCs w:val="28"/>
                <w:vertAlign w:val="baseline"/>
                <w:lang w:val="en-US" w:eastAsia="zh-CN"/>
              </w:rPr>
              <w:t>学生具备有关培训机构和项目规划、领导、组织和评估的职责和过程的基本知识。基于理论原因，他们能够通过选择和使用适当的工具来设计解决管理问题的方法。他们能够在职业、成人教育和企业经济的观点之间建立关系</w:t>
            </w:r>
          </w:p>
        </w:tc>
        <w:tc>
          <w:tcPr>
            <w:tcW w:w="1846" w:type="dxa"/>
            <w:vAlign w:val="top"/>
          </w:tcPr>
          <w:p>
            <w:pPr>
              <w:jc w:val="center"/>
              <w:rPr>
                <w:rFonts w:hint="eastAsia"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课堂教学和研讨会</w:t>
            </w:r>
          </w:p>
        </w:tc>
        <w:tc>
          <w:tcPr>
            <w:tcW w:w="773" w:type="dxa"/>
            <w:vAlign w:val="top"/>
          </w:tcPr>
          <w:p>
            <w:pPr>
              <w:jc w:val="center"/>
              <w:rPr>
                <w:rFonts w:hint="eastAsia" w:ascii="仿宋_GB2312" w:hAnsi="仿宋_GB2312" w:eastAsia="仿宋_GB2312" w:cs="仿宋_GB2312"/>
                <w:sz w:val="32"/>
                <w:szCs w:val="40"/>
                <w:vertAlign w:val="baseline"/>
                <w:lang w:val="en-US" w:eastAsia="zh-Hans"/>
              </w:rPr>
            </w:pPr>
            <w:r>
              <w:rPr>
                <w:rFonts w:hint="default" w:ascii="仿宋_GB2312" w:hAnsi="仿宋_GB2312" w:eastAsia="仿宋_GB2312" w:cs="仿宋_GB2312"/>
                <w:sz w:val="32"/>
                <w:szCs w:val="40"/>
                <w:vertAlign w:val="baseline"/>
                <w:lang w:eastAsia="zh-Hans"/>
              </w:rPr>
              <w:t>9</w:t>
            </w:r>
            <w:r>
              <w:rPr>
                <w:rFonts w:hint="default" w:ascii="仿宋_GB2312" w:hAnsi="仿宋_GB2312" w:eastAsia="仿宋_GB2312" w:cs="仿宋_GB2312"/>
                <w:sz w:val="32"/>
                <w:szCs w:val="40"/>
                <w:vertAlign w:val="baseline"/>
                <w:lang w:eastAsia="zh-Hans"/>
              </w:rPr>
              <w:t>0</w:t>
            </w:r>
          </w:p>
        </w:tc>
        <w:tc>
          <w:tcPr>
            <w:tcW w:w="773" w:type="dxa"/>
            <w:vAlign w:val="top"/>
          </w:tcPr>
          <w:p>
            <w:pPr>
              <w:jc w:val="center"/>
              <w:rPr>
                <w:rFonts w:hint="default" w:ascii="仿宋_GB2312" w:hAnsi="仿宋_GB2312" w:eastAsia="仿宋_GB2312" w:cs="仿宋_GB2312"/>
                <w:sz w:val="32"/>
                <w:szCs w:val="40"/>
                <w:vertAlign w:val="baseline"/>
                <w:lang w:eastAsia="zh-Hans"/>
              </w:rPr>
            </w:pPr>
            <w:r>
              <w:rPr>
                <w:rFonts w:hint="eastAsia" w:ascii="仿宋_GB2312" w:hAnsi="仿宋_GB2312" w:eastAsia="仿宋_GB2312" w:cs="仿宋_GB2312"/>
                <w:sz w:val="32"/>
                <w:szCs w:val="40"/>
                <w:vertAlign w:val="baseline"/>
                <w:lang w:val="en-US" w:eastAsia="zh-Hans"/>
              </w:rPr>
              <w:t>德累斯顿工业大学</w:t>
            </w:r>
          </w:p>
        </w:tc>
      </w:tr>
      <w:tr>
        <w:trPr>
          <w:trHeight w:val="5929" w:hRule="atLeast"/>
        </w:trPr>
        <w:tc>
          <w:tcPr>
            <w:tcW w:w="1069"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4</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1-</w:t>
            </w:r>
          </w:p>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4</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7</w:t>
            </w:r>
          </w:p>
        </w:tc>
        <w:tc>
          <w:tcPr>
            <w:tcW w:w="1861" w:type="dxa"/>
          </w:tcPr>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模块四</w:t>
            </w:r>
            <w:r>
              <w:rPr>
                <w:rFonts w:hint="default" w:ascii="仿宋_GB2312" w:hAnsi="仿宋_GB2312" w:eastAsia="仿宋_GB2312" w:cs="仿宋_GB2312"/>
                <w:sz w:val="32"/>
                <w:szCs w:val="40"/>
                <w:vertAlign w:val="baseline"/>
                <w:lang w:eastAsia="zh-Hans"/>
              </w:rPr>
              <w:t>：</w:t>
            </w:r>
            <w:r>
              <w:rPr>
                <w:rFonts w:hint="eastAsia" w:ascii="仿宋_GB2312" w:hAnsi="仿宋_GB2312" w:eastAsia="仿宋_GB2312" w:cs="仿宋_GB2312"/>
                <w:sz w:val="32"/>
                <w:szCs w:val="40"/>
                <w:vertAlign w:val="baseline"/>
                <w:lang w:val="en-US" w:eastAsia="zh-Hans"/>
              </w:rPr>
              <w:t>科研</w:t>
            </w:r>
            <w:r>
              <w:rPr>
                <w:rFonts w:hint="default" w:ascii="仿宋_GB2312" w:hAnsi="仿宋_GB2312" w:eastAsia="仿宋_GB2312" w:cs="仿宋_GB2312"/>
                <w:sz w:val="32"/>
                <w:szCs w:val="40"/>
                <w:vertAlign w:val="baseline"/>
                <w:lang w:eastAsia="zh-Hans"/>
              </w:rPr>
              <w:t>、</w:t>
            </w:r>
            <w:r>
              <w:rPr>
                <w:rFonts w:hint="eastAsia" w:ascii="仿宋_GB2312" w:hAnsi="仿宋_GB2312" w:eastAsia="仿宋_GB2312" w:cs="仿宋_GB2312"/>
                <w:sz w:val="32"/>
                <w:szCs w:val="40"/>
                <w:vertAlign w:val="baseline"/>
                <w:lang w:val="en-US" w:eastAsia="zh-Hans"/>
              </w:rPr>
              <w:t>生产和教育发展过程分析</w:t>
            </w:r>
          </w:p>
        </w:tc>
        <w:tc>
          <w:tcPr>
            <w:tcW w:w="2970" w:type="dxa"/>
          </w:tcPr>
          <w:p>
            <w:pPr>
              <w:keepNext w:val="0"/>
              <w:keepLines w:val="0"/>
              <w:widowControl/>
              <w:suppressLineNumbers w:val="0"/>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基于对典型生产和服务结构特征的了解，学生能够通过应用科学方法分析生产和服务过程及其与教育相关的特征。因此，在分析结果的基础上，学生能够</w:t>
            </w:r>
            <w:r>
              <w:rPr>
                <w:rFonts w:hint="eastAsia" w:ascii="仿宋_GB2312" w:hAnsi="仿宋_GB2312" w:eastAsia="仿宋_GB2312" w:cs="仿宋_GB2312"/>
                <w:sz w:val="22"/>
                <w:szCs w:val="28"/>
                <w:vertAlign w:val="baseline"/>
                <w:lang w:val="en-US" w:eastAsia="zh-Hans"/>
              </w:rPr>
              <w:t>在宏观和微观层面了解</w:t>
            </w:r>
            <w:r>
              <w:rPr>
                <w:rFonts w:hint="eastAsia" w:ascii="仿宋_GB2312" w:hAnsi="仿宋_GB2312" w:eastAsia="仿宋_GB2312" w:cs="仿宋_GB2312"/>
                <w:sz w:val="22"/>
                <w:szCs w:val="28"/>
                <w:vertAlign w:val="baseline"/>
                <w:lang w:val="en-US" w:eastAsia="zh-CN"/>
              </w:rPr>
              <w:t>职业技术培训的发展</w:t>
            </w:r>
            <w:r>
              <w:rPr>
                <w:rFonts w:hint="eastAsia" w:ascii="仿宋_GB2312" w:hAnsi="仿宋_GB2312" w:eastAsia="仿宋_GB2312" w:cs="仿宋_GB2312"/>
                <w:sz w:val="22"/>
                <w:szCs w:val="28"/>
                <w:vertAlign w:val="baseline"/>
                <w:lang w:val="en-US" w:eastAsia="zh-Hans"/>
              </w:rPr>
              <w:t>结果</w:t>
            </w:r>
            <w:r>
              <w:rPr>
                <w:rFonts w:hint="eastAsia" w:ascii="仿宋_GB2312" w:hAnsi="仿宋_GB2312" w:eastAsia="仿宋_GB2312" w:cs="仿宋_GB2312"/>
                <w:sz w:val="22"/>
                <w:szCs w:val="28"/>
                <w:vertAlign w:val="baseline"/>
                <w:lang w:val="en-US" w:eastAsia="zh-CN"/>
              </w:rPr>
              <w:t>。</w:t>
            </w:r>
          </w:p>
          <w:p>
            <w:pPr>
              <w:keepNext w:val="0"/>
              <w:keepLines w:val="0"/>
              <w:widowControl/>
              <w:suppressLineNumbers w:val="0"/>
              <w:jc w:val="left"/>
              <w:rPr>
                <w:rFonts w:hint="eastAsia" w:ascii="仿宋_GB2312" w:hAnsi="仿宋_GB2312" w:eastAsia="仿宋_GB2312" w:cs="仿宋_GB2312"/>
                <w:sz w:val="22"/>
                <w:szCs w:val="28"/>
                <w:vertAlign w:val="baseline"/>
                <w:lang w:val="en-US" w:eastAsia="zh-Hans"/>
              </w:rPr>
            </w:pPr>
          </w:p>
        </w:tc>
        <w:tc>
          <w:tcPr>
            <w:tcW w:w="1846" w:type="dxa"/>
          </w:tcPr>
          <w:p>
            <w:pPr>
              <w:jc w:val="center"/>
              <w:rPr>
                <w:rFonts w:hint="eastAsia"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课堂教学和研讨会</w:t>
            </w:r>
          </w:p>
        </w:tc>
        <w:tc>
          <w:tcPr>
            <w:tcW w:w="773"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45</w:t>
            </w:r>
          </w:p>
        </w:tc>
        <w:tc>
          <w:tcPr>
            <w:tcW w:w="773" w:type="dxa"/>
          </w:tcPr>
          <w:p>
            <w:pPr>
              <w:jc w:val="center"/>
              <w:rPr>
                <w:rFonts w:hint="default" w:ascii="仿宋_GB2312" w:hAnsi="仿宋_GB2312" w:eastAsia="仿宋_GB2312" w:cs="仿宋_GB2312"/>
                <w:sz w:val="32"/>
                <w:szCs w:val="40"/>
                <w:vertAlign w:val="baseline"/>
                <w:lang w:eastAsia="zh-Hans"/>
              </w:rPr>
            </w:pPr>
            <w:r>
              <w:rPr>
                <w:rFonts w:hint="eastAsia" w:ascii="仿宋_GB2312" w:hAnsi="仿宋_GB2312" w:eastAsia="仿宋_GB2312" w:cs="仿宋_GB2312"/>
                <w:sz w:val="32"/>
                <w:szCs w:val="40"/>
                <w:vertAlign w:val="baseline"/>
                <w:lang w:val="en-US" w:eastAsia="zh-Hans"/>
              </w:rPr>
              <w:t>德累斯顿工业大学</w:t>
            </w:r>
          </w:p>
        </w:tc>
      </w:tr>
      <w:tr>
        <w:tc>
          <w:tcPr>
            <w:tcW w:w="1069"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4</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8-</w:t>
            </w:r>
          </w:p>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4</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14</w:t>
            </w:r>
          </w:p>
        </w:tc>
        <w:tc>
          <w:tcPr>
            <w:tcW w:w="1861" w:type="dxa"/>
          </w:tcPr>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模块五</w:t>
            </w:r>
            <w:r>
              <w:rPr>
                <w:rFonts w:hint="default" w:ascii="仿宋_GB2312" w:hAnsi="仿宋_GB2312" w:eastAsia="仿宋_GB2312" w:cs="仿宋_GB2312"/>
                <w:sz w:val="32"/>
                <w:szCs w:val="40"/>
                <w:vertAlign w:val="baseline"/>
                <w:lang w:eastAsia="zh-Hans"/>
              </w:rPr>
              <w:t>：</w:t>
            </w:r>
            <w:r>
              <w:rPr>
                <w:rFonts w:hint="eastAsia" w:ascii="仿宋_GB2312" w:hAnsi="仿宋_GB2312" w:eastAsia="仿宋_GB2312" w:cs="仿宋_GB2312"/>
                <w:sz w:val="32"/>
                <w:szCs w:val="40"/>
                <w:vertAlign w:val="baseline"/>
                <w:lang w:val="en-US" w:eastAsia="zh-Hans"/>
              </w:rPr>
              <w:t>课程开发理论</w:t>
            </w:r>
          </w:p>
        </w:tc>
        <w:tc>
          <w:tcPr>
            <w:tcW w:w="2970" w:type="dxa"/>
          </w:tcPr>
          <w:p>
            <w:pPr>
              <w:keepNext w:val="0"/>
              <w:keepLines w:val="0"/>
              <w:widowControl/>
              <w:suppressLineNumbers w:val="0"/>
              <w:jc w:val="left"/>
              <w:rPr>
                <w:rFonts w:hint="eastAsia" w:ascii="仿宋_GB2312" w:hAnsi="仿宋_GB2312" w:eastAsia="仿宋_GB2312" w:cs="仿宋_GB2312"/>
                <w:sz w:val="22"/>
                <w:szCs w:val="28"/>
                <w:vertAlign w:val="baseline"/>
                <w:lang w:val="en-US" w:eastAsia="zh-Hans"/>
              </w:rPr>
            </w:pPr>
            <w:r>
              <w:rPr>
                <w:rFonts w:hint="eastAsia" w:ascii="仿宋_GB2312" w:hAnsi="仿宋_GB2312" w:eastAsia="仿宋_GB2312" w:cs="仿宋_GB2312"/>
                <w:sz w:val="22"/>
                <w:szCs w:val="28"/>
                <w:vertAlign w:val="baseline"/>
                <w:lang w:val="en-US" w:eastAsia="zh-CN"/>
              </w:rPr>
              <w:t>学生能够识别和比较课程开发的不同方法，并为职业教育区分计划的基本关系提供一些理由。此外，他们能够在国际比较中描述职业教育领域的问题。</w:t>
            </w:r>
          </w:p>
        </w:tc>
        <w:tc>
          <w:tcPr>
            <w:tcW w:w="1846" w:type="dxa"/>
            <w:vAlign w:val="top"/>
          </w:tcPr>
          <w:p>
            <w:pPr>
              <w:jc w:val="center"/>
              <w:rPr>
                <w:rFonts w:hint="eastAsia"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课堂教学和研讨会</w:t>
            </w:r>
          </w:p>
        </w:tc>
        <w:tc>
          <w:tcPr>
            <w:tcW w:w="773" w:type="dxa"/>
            <w:vAlign w:val="top"/>
          </w:tcPr>
          <w:p>
            <w:pPr>
              <w:jc w:val="center"/>
              <w:rPr>
                <w:rFonts w:hint="eastAsia" w:ascii="仿宋_GB2312" w:hAnsi="仿宋_GB2312" w:eastAsia="仿宋_GB2312" w:cs="仿宋_GB2312"/>
                <w:sz w:val="32"/>
                <w:szCs w:val="40"/>
                <w:vertAlign w:val="baseline"/>
                <w:lang w:val="en-US" w:eastAsia="zh-Hans"/>
              </w:rPr>
            </w:pPr>
            <w:r>
              <w:rPr>
                <w:rFonts w:hint="default" w:ascii="仿宋_GB2312" w:hAnsi="仿宋_GB2312" w:eastAsia="仿宋_GB2312" w:cs="仿宋_GB2312"/>
                <w:sz w:val="32"/>
                <w:szCs w:val="40"/>
                <w:vertAlign w:val="baseline"/>
                <w:lang w:eastAsia="zh-Hans"/>
              </w:rPr>
              <w:t>45</w:t>
            </w:r>
          </w:p>
        </w:tc>
        <w:tc>
          <w:tcPr>
            <w:tcW w:w="773" w:type="dxa"/>
            <w:vAlign w:val="top"/>
          </w:tcPr>
          <w:p>
            <w:pPr>
              <w:jc w:val="center"/>
              <w:rPr>
                <w:rFonts w:hint="default" w:ascii="仿宋_GB2312" w:hAnsi="仿宋_GB2312" w:eastAsia="仿宋_GB2312" w:cs="仿宋_GB2312"/>
                <w:sz w:val="32"/>
                <w:szCs w:val="40"/>
                <w:vertAlign w:val="baseline"/>
                <w:lang w:eastAsia="zh-Hans"/>
              </w:rPr>
            </w:pPr>
            <w:r>
              <w:rPr>
                <w:rFonts w:hint="eastAsia" w:ascii="仿宋_GB2312" w:hAnsi="仿宋_GB2312" w:eastAsia="仿宋_GB2312" w:cs="仿宋_GB2312"/>
                <w:sz w:val="32"/>
                <w:szCs w:val="40"/>
                <w:vertAlign w:val="baseline"/>
                <w:lang w:val="en-US" w:eastAsia="zh-Hans"/>
              </w:rPr>
              <w:t>德累斯顿工业大学</w:t>
            </w:r>
          </w:p>
        </w:tc>
      </w:tr>
      <w:tr>
        <w:tc>
          <w:tcPr>
            <w:tcW w:w="1069"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4</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15-</w:t>
            </w:r>
          </w:p>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4</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24</w:t>
            </w:r>
          </w:p>
        </w:tc>
        <w:tc>
          <w:tcPr>
            <w:tcW w:w="1861" w:type="dxa"/>
          </w:tcPr>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模块六</w:t>
            </w:r>
            <w:r>
              <w:rPr>
                <w:rFonts w:hint="default" w:ascii="仿宋_GB2312" w:hAnsi="仿宋_GB2312" w:eastAsia="仿宋_GB2312" w:cs="仿宋_GB2312"/>
                <w:sz w:val="32"/>
                <w:szCs w:val="40"/>
                <w:vertAlign w:val="baseline"/>
                <w:lang w:eastAsia="zh-Hans"/>
              </w:rPr>
              <w:t>：</w:t>
            </w:r>
            <w:r>
              <w:rPr>
                <w:rFonts w:hint="eastAsia" w:ascii="仿宋_GB2312" w:hAnsi="仿宋_GB2312" w:eastAsia="仿宋_GB2312" w:cs="仿宋_GB2312"/>
                <w:sz w:val="32"/>
                <w:szCs w:val="40"/>
                <w:vertAlign w:val="baseline"/>
                <w:lang w:val="en-US" w:eastAsia="zh-Hans"/>
              </w:rPr>
              <w:t>人力资源发展</w:t>
            </w:r>
          </w:p>
        </w:tc>
        <w:tc>
          <w:tcPr>
            <w:tcW w:w="2970" w:type="dxa"/>
          </w:tcPr>
          <w:p>
            <w:pPr>
              <w:keepNext w:val="0"/>
              <w:keepLines w:val="0"/>
              <w:widowControl/>
              <w:suppressLineNumbers w:val="0"/>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学生能够协调复杂的教学和学习过程，以促进人员活动和发展。他们了解在职业教育背景下人力资源发展的目标、职责和功能。</w:t>
            </w:r>
          </w:p>
          <w:p>
            <w:pPr>
              <w:keepNext w:val="0"/>
              <w:keepLines w:val="0"/>
              <w:widowControl/>
              <w:suppressLineNumbers w:val="0"/>
              <w:jc w:val="left"/>
              <w:rPr>
                <w:rFonts w:hint="eastAsia" w:ascii="仿宋_GB2312" w:hAnsi="仿宋_GB2312" w:eastAsia="仿宋_GB2312" w:cs="仿宋_GB2312"/>
                <w:sz w:val="22"/>
                <w:szCs w:val="28"/>
                <w:vertAlign w:val="baseline"/>
                <w:lang w:val="en-US" w:eastAsia="zh-Hans"/>
              </w:rPr>
            </w:pPr>
          </w:p>
        </w:tc>
        <w:tc>
          <w:tcPr>
            <w:tcW w:w="1846" w:type="dxa"/>
          </w:tcPr>
          <w:p>
            <w:pPr>
              <w:jc w:val="center"/>
              <w:rPr>
                <w:rFonts w:hint="eastAsia"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课堂教学和研讨会</w:t>
            </w:r>
          </w:p>
        </w:tc>
        <w:tc>
          <w:tcPr>
            <w:tcW w:w="773"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60</w:t>
            </w:r>
          </w:p>
        </w:tc>
        <w:tc>
          <w:tcPr>
            <w:tcW w:w="773" w:type="dxa"/>
          </w:tcPr>
          <w:p>
            <w:pPr>
              <w:jc w:val="center"/>
              <w:rPr>
                <w:rFonts w:hint="default" w:ascii="仿宋_GB2312" w:hAnsi="仿宋_GB2312" w:eastAsia="仿宋_GB2312" w:cs="仿宋_GB2312"/>
                <w:sz w:val="32"/>
                <w:szCs w:val="40"/>
                <w:vertAlign w:val="baseline"/>
                <w:lang w:eastAsia="zh-Hans"/>
              </w:rPr>
            </w:pPr>
            <w:r>
              <w:rPr>
                <w:rFonts w:hint="eastAsia" w:ascii="仿宋_GB2312" w:hAnsi="仿宋_GB2312" w:eastAsia="仿宋_GB2312" w:cs="仿宋_GB2312"/>
                <w:sz w:val="32"/>
                <w:szCs w:val="40"/>
                <w:vertAlign w:val="baseline"/>
                <w:lang w:val="en-US" w:eastAsia="zh-Hans"/>
              </w:rPr>
              <w:t>德累斯顿工业大学</w:t>
            </w:r>
          </w:p>
        </w:tc>
      </w:tr>
      <w:tr>
        <w:tc>
          <w:tcPr>
            <w:tcW w:w="1069"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4</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25-5</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1</w:t>
            </w:r>
          </w:p>
        </w:tc>
        <w:tc>
          <w:tcPr>
            <w:tcW w:w="1861" w:type="dxa"/>
          </w:tcPr>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模块七</w:t>
            </w:r>
            <w:r>
              <w:rPr>
                <w:rFonts w:hint="default" w:ascii="仿宋_GB2312" w:hAnsi="仿宋_GB2312" w:eastAsia="仿宋_GB2312" w:cs="仿宋_GB2312"/>
                <w:sz w:val="32"/>
                <w:szCs w:val="40"/>
                <w:vertAlign w:val="baseline"/>
                <w:lang w:eastAsia="zh-Hans"/>
              </w:rPr>
              <w:t>：</w:t>
            </w:r>
            <w:r>
              <w:rPr>
                <w:rFonts w:hint="eastAsia" w:ascii="仿宋_GB2312" w:hAnsi="仿宋_GB2312" w:eastAsia="仿宋_GB2312" w:cs="仿宋_GB2312"/>
                <w:sz w:val="32"/>
                <w:szCs w:val="40"/>
                <w:vertAlign w:val="baseline"/>
                <w:lang w:val="en-US" w:eastAsia="zh-Hans"/>
              </w:rPr>
              <w:t>沟通过程设计</w:t>
            </w:r>
          </w:p>
        </w:tc>
        <w:tc>
          <w:tcPr>
            <w:tcW w:w="2970" w:type="dxa"/>
          </w:tcPr>
          <w:p>
            <w:pPr>
              <w:keepNext w:val="0"/>
              <w:keepLines w:val="0"/>
              <w:widowControl/>
              <w:suppressLineNumbers w:val="0"/>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学</w:t>
            </w:r>
            <w:r>
              <w:rPr>
                <w:rFonts w:hint="eastAsia" w:ascii="仿宋_GB2312" w:hAnsi="仿宋_GB2312" w:eastAsia="仿宋_GB2312" w:cs="仿宋_GB2312"/>
                <w:sz w:val="22"/>
                <w:szCs w:val="28"/>
                <w:vertAlign w:val="baseline"/>
                <w:lang w:val="en-US" w:eastAsia="zh-CN"/>
              </w:rPr>
              <w:t>生能够设计合适和面向目标群体的沟通过程。这包括人际沟通过程的设计以及在机构中构建信息流。他们了解基本的沟通过程心理学模型，并能够合理地将这些过程与沟通目的结合起来进行结构化/分类。学生熟悉机构中的信息和知识管理的不同模型。</w:t>
            </w:r>
          </w:p>
          <w:p>
            <w:pPr>
              <w:keepNext w:val="0"/>
              <w:keepLines w:val="0"/>
              <w:widowControl/>
              <w:suppressLineNumbers w:val="0"/>
              <w:jc w:val="left"/>
              <w:rPr>
                <w:rFonts w:hint="eastAsia" w:ascii="仿宋_GB2312" w:hAnsi="仿宋_GB2312" w:eastAsia="仿宋_GB2312" w:cs="仿宋_GB2312"/>
                <w:sz w:val="22"/>
                <w:szCs w:val="28"/>
                <w:vertAlign w:val="baseline"/>
                <w:lang w:val="en-US" w:eastAsia="zh-Hans"/>
              </w:rPr>
            </w:pPr>
          </w:p>
        </w:tc>
        <w:tc>
          <w:tcPr>
            <w:tcW w:w="1846" w:type="dxa"/>
            <w:vAlign w:val="top"/>
          </w:tcPr>
          <w:p>
            <w:pPr>
              <w:jc w:val="center"/>
              <w:rPr>
                <w:rFonts w:hint="eastAsia"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课堂教学和研讨会</w:t>
            </w:r>
          </w:p>
        </w:tc>
        <w:tc>
          <w:tcPr>
            <w:tcW w:w="773" w:type="dxa"/>
            <w:vAlign w:val="top"/>
          </w:tcPr>
          <w:p>
            <w:pPr>
              <w:jc w:val="center"/>
              <w:rPr>
                <w:rFonts w:hint="eastAsia" w:ascii="仿宋_GB2312" w:hAnsi="仿宋_GB2312" w:eastAsia="仿宋_GB2312" w:cs="仿宋_GB2312"/>
                <w:sz w:val="32"/>
                <w:szCs w:val="40"/>
                <w:vertAlign w:val="baseline"/>
                <w:lang w:val="en-US" w:eastAsia="zh-Hans"/>
              </w:rPr>
            </w:pPr>
            <w:r>
              <w:rPr>
                <w:rFonts w:hint="default" w:ascii="仿宋_GB2312" w:hAnsi="仿宋_GB2312" w:eastAsia="仿宋_GB2312" w:cs="仿宋_GB2312"/>
                <w:sz w:val="32"/>
                <w:szCs w:val="40"/>
                <w:vertAlign w:val="baseline"/>
                <w:lang w:eastAsia="zh-Hans"/>
              </w:rPr>
              <w:t>45</w:t>
            </w:r>
          </w:p>
        </w:tc>
        <w:tc>
          <w:tcPr>
            <w:tcW w:w="773" w:type="dxa"/>
            <w:vAlign w:val="top"/>
          </w:tcPr>
          <w:p>
            <w:pPr>
              <w:jc w:val="center"/>
              <w:rPr>
                <w:rFonts w:hint="default" w:ascii="仿宋_GB2312" w:hAnsi="仿宋_GB2312" w:eastAsia="仿宋_GB2312" w:cs="仿宋_GB2312"/>
                <w:sz w:val="32"/>
                <w:szCs w:val="40"/>
                <w:vertAlign w:val="baseline"/>
                <w:lang w:eastAsia="zh-Hans"/>
              </w:rPr>
            </w:pPr>
            <w:r>
              <w:rPr>
                <w:rFonts w:hint="eastAsia" w:ascii="仿宋_GB2312" w:hAnsi="仿宋_GB2312" w:eastAsia="仿宋_GB2312" w:cs="仿宋_GB2312"/>
                <w:sz w:val="32"/>
                <w:szCs w:val="40"/>
                <w:vertAlign w:val="baseline"/>
                <w:lang w:val="en-US" w:eastAsia="zh-Hans"/>
              </w:rPr>
              <w:t>德累斯顿工业大学</w:t>
            </w:r>
          </w:p>
        </w:tc>
      </w:tr>
      <w:tr>
        <w:tc>
          <w:tcPr>
            <w:tcW w:w="1069"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5</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2-</w:t>
            </w:r>
          </w:p>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5</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11</w:t>
            </w:r>
          </w:p>
        </w:tc>
        <w:tc>
          <w:tcPr>
            <w:tcW w:w="1861" w:type="dxa"/>
          </w:tcPr>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模块八</w:t>
            </w:r>
            <w:r>
              <w:rPr>
                <w:rFonts w:hint="default" w:ascii="仿宋_GB2312" w:hAnsi="仿宋_GB2312" w:eastAsia="仿宋_GB2312" w:cs="仿宋_GB2312"/>
                <w:sz w:val="32"/>
                <w:szCs w:val="40"/>
                <w:vertAlign w:val="baseline"/>
                <w:lang w:eastAsia="zh-Hans"/>
              </w:rPr>
              <w:t>：</w:t>
            </w:r>
            <w:r>
              <w:rPr>
                <w:rFonts w:hint="eastAsia" w:ascii="仿宋_GB2312" w:hAnsi="仿宋_GB2312" w:eastAsia="仿宋_GB2312" w:cs="仿宋_GB2312"/>
                <w:sz w:val="32"/>
                <w:szCs w:val="40"/>
                <w:vertAlign w:val="baseline"/>
                <w:lang w:val="en-US" w:eastAsia="zh-Hans"/>
              </w:rPr>
              <w:t>质量管理系统</w:t>
            </w:r>
          </w:p>
        </w:tc>
        <w:tc>
          <w:tcPr>
            <w:tcW w:w="2970" w:type="dxa"/>
          </w:tcPr>
          <w:p>
            <w:pPr>
              <w:keepNext w:val="0"/>
              <w:keepLines w:val="0"/>
              <w:widowControl/>
              <w:suppressLineNumbers w:val="0"/>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学生能够根据给定的标准比较不同的质量管理体系，并知道如何在实践中应用它们。通过对国际方法的熟悉，学生了解质量发展和教育体系中不同模型之间的关系。评估和学校评估的方法也包括在内。</w:t>
            </w:r>
          </w:p>
          <w:p>
            <w:pPr>
              <w:keepNext w:val="0"/>
              <w:keepLines w:val="0"/>
              <w:widowControl/>
              <w:suppressLineNumbers w:val="0"/>
              <w:jc w:val="left"/>
              <w:rPr>
                <w:rFonts w:hint="eastAsia" w:ascii="仿宋_GB2312" w:hAnsi="仿宋_GB2312" w:eastAsia="仿宋_GB2312" w:cs="仿宋_GB2312"/>
                <w:sz w:val="22"/>
                <w:szCs w:val="28"/>
                <w:vertAlign w:val="baseline"/>
                <w:lang w:val="en-US" w:eastAsia="zh-Hans"/>
              </w:rPr>
            </w:pPr>
          </w:p>
        </w:tc>
        <w:tc>
          <w:tcPr>
            <w:tcW w:w="1846" w:type="dxa"/>
          </w:tcPr>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研讨会</w:t>
            </w:r>
          </w:p>
        </w:tc>
        <w:tc>
          <w:tcPr>
            <w:tcW w:w="773"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60</w:t>
            </w:r>
          </w:p>
        </w:tc>
        <w:tc>
          <w:tcPr>
            <w:tcW w:w="773" w:type="dxa"/>
          </w:tcPr>
          <w:p>
            <w:pPr>
              <w:jc w:val="center"/>
              <w:rPr>
                <w:rFonts w:hint="default" w:ascii="仿宋_GB2312" w:hAnsi="仿宋_GB2312" w:eastAsia="仿宋_GB2312" w:cs="仿宋_GB2312"/>
                <w:sz w:val="32"/>
                <w:szCs w:val="40"/>
                <w:vertAlign w:val="baseline"/>
                <w:lang w:eastAsia="zh-Hans"/>
              </w:rPr>
            </w:pPr>
            <w:r>
              <w:rPr>
                <w:rFonts w:hint="eastAsia" w:ascii="仿宋_GB2312" w:hAnsi="仿宋_GB2312" w:eastAsia="仿宋_GB2312" w:cs="仿宋_GB2312"/>
                <w:sz w:val="32"/>
                <w:szCs w:val="40"/>
                <w:vertAlign w:val="baseline"/>
                <w:lang w:val="en-US" w:eastAsia="zh-Hans"/>
              </w:rPr>
              <w:t>德累斯顿工业大学</w:t>
            </w:r>
          </w:p>
        </w:tc>
      </w:tr>
      <w:tr>
        <w:tc>
          <w:tcPr>
            <w:tcW w:w="1069"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5</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12-</w:t>
            </w:r>
          </w:p>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5</w:t>
            </w:r>
            <w:r>
              <w:rPr>
                <w:rFonts w:hint="eastAsia" w:ascii="仿宋_GB2312" w:hAnsi="仿宋_GB2312" w:eastAsia="仿宋_GB2312" w:cs="仿宋_GB2312"/>
                <w:sz w:val="32"/>
                <w:szCs w:val="40"/>
                <w:vertAlign w:val="baseline"/>
                <w:lang w:val="en-US" w:eastAsia="zh-Hans"/>
              </w:rPr>
              <w:t>.</w:t>
            </w:r>
            <w:r>
              <w:rPr>
                <w:rFonts w:hint="default" w:ascii="仿宋_GB2312" w:hAnsi="仿宋_GB2312" w:eastAsia="仿宋_GB2312" w:cs="仿宋_GB2312"/>
                <w:sz w:val="32"/>
                <w:szCs w:val="40"/>
                <w:vertAlign w:val="baseline"/>
                <w:lang w:eastAsia="zh-Hans"/>
              </w:rPr>
              <w:t>17</w:t>
            </w:r>
          </w:p>
        </w:tc>
        <w:tc>
          <w:tcPr>
            <w:tcW w:w="1861" w:type="dxa"/>
          </w:tcPr>
          <w:p>
            <w:pPr>
              <w:jc w:val="center"/>
              <w:rPr>
                <w:rFonts w:hint="default" w:ascii="仿宋_GB2312" w:hAnsi="仿宋_GB2312" w:eastAsia="仿宋_GB2312" w:cs="仿宋_GB2312"/>
                <w:sz w:val="32"/>
                <w:szCs w:val="40"/>
                <w:vertAlign w:val="baseline"/>
                <w:lang w:val="en-US" w:eastAsia="zh-Hans"/>
              </w:rPr>
            </w:pPr>
            <w:r>
              <w:rPr>
                <w:rFonts w:hint="eastAsia" w:ascii="仿宋_GB2312" w:hAnsi="仿宋_GB2312" w:eastAsia="仿宋_GB2312" w:cs="仿宋_GB2312"/>
                <w:sz w:val="32"/>
                <w:szCs w:val="40"/>
                <w:vertAlign w:val="baseline"/>
                <w:lang w:val="en-US" w:eastAsia="zh-Hans"/>
              </w:rPr>
              <w:t>模块九</w:t>
            </w:r>
            <w:r>
              <w:rPr>
                <w:rFonts w:hint="default" w:ascii="仿宋_GB2312" w:hAnsi="仿宋_GB2312" w:eastAsia="仿宋_GB2312" w:cs="仿宋_GB2312"/>
                <w:sz w:val="32"/>
                <w:szCs w:val="40"/>
                <w:vertAlign w:val="baseline"/>
                <w:lang w:eastAsia="zh-Hans"/>
              </w:rPr>
              <w:t>：</w:t>
            </w:r>
            <w:r>
              <w:rPr>
                <w:rFonts w:hint="eastAsia" w:ascii="仿宋_GB2312" w:hAnsi="仿宋_GB2312" w:eastAsia="仿宋_GB2312" w:cs="仿宋_GB2312"/>
                <w:sz w:val="32"/>
                <w:szCs w:val="40"/>
                <w:vertAlign w:val="baseline"/>
                <w:lang w:val="en-US" w:eastAsia="zh-Hans"/>
              </w:rPr>
              <w:t>教育科技</w:t>
            </w:r>
          </w:p>
        </w:tc>
        <w:tc>
          <w:tcPr>
            <w:tcW w:w="2970" w:type="dxa"/>
          </w:tcPr>
          <w:p>
            <w:pPr>
              <w:keepNext w:val="0"/>
              <w:keepLines w:val="0"/>
              <w:widowControl/>
              <w:suppressLineNumbers w:val="0"/>
              <w:jc w:val="left"/>
              <w:rPr>
                <w:rFonts w:hint="eastAsia" w:ascii="仿宋_GB2312" w:hAnsi="仿宋_GB2312" w:eastAsia="仿宋_GB2312" w:cs="仿宋_GB2312"/>
                <w:sz w:val="22"/>
                <w:szCs w:val="28"/>
                <w:vertAlign w:val="baseline"/>
                <w:lang w:val="en-US" w:eastAsia="zh-CN"/>
              </w:rPr>
            </w:pPr>
            <w:r>
              <w:rPr>
                <w:rFonts w:hint="eastAsia" w:ascii="仿宋_GB2312" w:hAnsi="仿宋_GB2312" w:eastAsia="仿宋_GB2312" w:cs="仿宋_GB2312"/>
                <w:sz w:val="22"/>
                <w:szCs w:val="28"/>
                <w:vertAlign w:val="baseline"/>
                <w:lang w:val="en-US" w:eastAsia="zh-CN"/>
              </w:rPr>
              <w:t>学生能够在教育技术领域以及职业教育和个体能力发展的背景下应用知识和方法。这包括： a) 基于媒体的知识传递场景：学生能够构思、设计和评估基于媒体的知识传递场景； b) 初级和继续教育中教育科学的应用领域：学生熟悉与职业以及个人学习相关的教育技术的功能。 c) 媒体设计：学生在构思、设计和实施教学媒体方面获得知识和能力。</w:t>
            </w:r>
          </w:p>
          <w:p>
            <w:pPr>
              <w:keepNext w:val="0"/>
              <w:keepLines w:val="0"/>
              <w:widowControl/>
              <w:suppressLineNumbers w:val="0"/>
              <w:jc w:val="left"/>
              <w:rPr>
                <w:rFonts w:hint="eastAsia" w:ascii="仿宋_GB2312" w:hAnsi="仿宋_GB2312" w:eastAsia="仿宋_GB2312" w:cs="仿宋_GB2312"/>
                <w:sz w:val="22"/>
                <w:szCs w:val="28"/>
                <w:vertAlign w:val="baseline"/>
                <w:lang w:val="en-US" w:eastAsia="zh-Hans"/>
              </w:rPr>
            </w:pPr>
          </w:p>
        </w:tc>
        <w:tc>
          <w:tcPr>
            <w:tcW w:w="1846" w:type="dxa"/>
          </w:tcPr>
          <w:p>
            <w:pPr>
              <w:jc w:val="center"/>
              <w:rPr>
                <w:rFonts w:hint="default" w:ascii="仿宋_GB2312" w:hAnsi="仿宋_GB2312" w:eastAsia="仿宋_GB2312" w:cs="仿宋_GB2312"/>
                <w:sz w:val="32"/>
                <w:szCs w:val="40"/>
                <w:vertAlign w:val="baseline"/>
                <w:lang w:eastAsia="zh-Hans"/>
              </w:rPr>
            </w:pPr>
            <w:r>
              <w:rPr>
                <w:rFonts w:hint="eastAsia" w:ascii="仿宋_GB2312" w:hAnsi="仿宋_GB2312" w:eastAsia="仿宋_GB2312" w:cs="仿宋_GB2312"/>
                <w:sz w:val="32"/>
                <w:szCs w:val="40"/>
                <w:vertAlign w:val="baseline"/>
                <w:lang w:val="en-US" w:eastAsia="zh-Hans"/>
              </w:rPr>
              <w:t>课堂教学和研讨会</w:t>
            </w:r>
          </w:p>
        </w:tc>
        <w:tc>
          <w:tcPr>
            <w:tcW w:w="773" w:type="dxa"/>
          </w:tcPr>
          <w:p>
            <w:pPr>
              <w:jc w:val="center"/>
              <w:rPr>
                <w:rFonts w:hint="default" w:ascii="仿宋_GB2312" w:hAnsi="仿宋_GB2312" w:eastAsia="仿宋_GB2312" w:cs="仿宋_GB2312"/>
                <w:sz w:val="32"/>
                <w:szCs w:val="40"/>
                <w:vertAlign w:val="baseline"/>
                <w:lang w:eastAsia="zh-Hans"/>
              </w:rPr>
            </w:pPr>
            <w:r>
              <w:rPr>
                <w:rFonts w:hint="default" w:ascii="仿宋_GB2312" w:hAnsi="仿宋_GB2312" w:eastAsia="仿宋_GB2312" w:cs="仿宋_GB2312"/>
                <w:sz w:val="32"/>
                <w:szCs w:val="40"/>
                <w:vertAlign w:val="baseline"/>
                <w:lang w:eastAsia="zh-Hans"/>
              </w:rPr>
              <w:t>45</w:t>
            </w:r>
          </w:p>
        </w:tc>
        <w:tc>
          <w:tcPr>
            <w:tcW w:w="773" w:type="dxa"/>
          </w:tcPr>
          <w:p>
            <w:pPr>
              <w:jc w:val="center"/>
              <w:rPr>
                <w:rFonts w:hint="default" w:ascii="仿宋_GB2312" w:hAnsi="仿宋_GB2312" w:eastAsia="仿宋_GB2312" w:cs="仿宋_GB2312"/>
                <w:sz w:val="32"/>
                <w:szCs w:val="40"/>
                <w:vertAlign w:val="baseline"/>
                <w:lang w:eastAsia="zh-Hans"/>
              </w:rPr>
            </w:pPr>
            <w:r>
              <w:rPr>
                <w:rFonts w:hint="eastAsia" w:ascii="仿宋_GB2312" w:hAnsi="仿宋_GB2312" w:eastAsia="仿宋_GB2312" w:cs="仿宋_GB2312"/>
                <w:sz w:val="32"/>
                <w:szCs w:val="40"/>
                <w:vertAlign w:val="baseline"/>
                <w:lang w:val="en-US" w:eastAsia="zh-Hans"/>
              </w:rPr>
              <w:t>德累斯顿工业大学</w:t>
            </w:r>
          </w:p>
        </w:tc>
      </w:tr>
    </w:tbl>
    <w:p>
      <w:pPr>
        <w:jc w:val="center"/>
        <w:rPr>
          <w:rFonts w:hint="eastAsia" w:ascii="仿宋_GB2312" w:hAnsi="仿宋_GB2312" w:eastAsia="仿宋_GB2312" w:cs="仿宋_GB2312"/>
          <w:sz w:val="32"/>
          <w:szCs w:val="40"/>
          <w:vertAlign w:val="baseline"/>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7CE8B0"/>
    <w:rsid w:val="1FFF3A99"/>
    <w:rsid w:val="3AAF5216"/>
    <w:rsid w:val="3BF36775"/>
    <w:rsid w:val="3FFE20FE"/>
    <w:rsid w:val="47B6B6C9"/>
    <w:rsid w:val="4FCAD616"/>
    <w:rsid w:val="5BF57F86"/>
    <w:rsid w:val="7BFE70BB"/>
    <w:rsid w:val="7F79F90E"/>
    <w:rsid w:val="7FB73599"/>
    <w:rsid w:val="7FF84266"/>
    <w:rsid w:val="7FFEAD48"/>
    <w:rsid w:val="97F6AA16"/>
    <w:rsid w:val="9B7FEE82"/>
    <w:rsid w:val="B7EDBDAD"/>
    <w:rsid w:val="BF77B1B4"/>
    <w:rsid w:val="CF65B77A"/>
    <w:rsid w:val="DEBFBC7C"/>
    <w:rsid w:val="EE23F25D"/>
    <w:rsid w:val="EEE9F842"/>
    <w:rsid w:val="EFE510AC"/>
    <w:rsid w:val="F47CE8B0"/>
    <w:rsid w:val="FDEE4C89"/>
    <w:rsid w:val="FFD1B433"/>
    <w:rsid w:val="FFE3BFDF"/>
    <w:rsid w:val="FFFF9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2024-02-05T19:20:00Z</dcterms:created>
  <dc:creator>办公1833</dc:creator>
  <cp:lastModifiedBy>办公1833</cp:lastModifiedBy>
  <dcterms:modified xsi:type="dcterms:W3CDTF">2024-02-05T21:38:33Z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A5025CB518D8D4A486C4C065400D9135</vt:lpwstr>
  </property>
</Properties>
</file>